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23.03.2018</w:t>
      </w:r>
      <w:br/>
    </w:p>
    <w:p>
      <w:pPr>
        <w:pStyle w:val="hStyle"/>
      </w:pPr>
      <w:r>
        <w:rPr>
          <w:rStyle w:val="TitleText"/>
        </w:rPr>
        <w:t xml:space="preserve">Встречайте в апреле на «Индийское кино» новые фильмы и рубрики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апреле на канале «Индийское кино» смотрите классические картины из «золотой коллекции» Болливуда, блокбастеры и самые рейтинговые фильмы. Также не пропустите рубрики месяца.</w:t>
      </w:r>
    </w:p>
    <w:p>
      <w:pPr/>
      <w:r>
        <w:rPr/>
        <w:t xml:space="preserve"> </w:t>
      </w:r>
    </w:p>
    <w:p>
      <w:pPr/>
      <w:r>
        <w:rPr/>
        <w:t xml:space="preserve">По вторникам в 20:00 – </w:t>
      </w:r>
      <w:r>
        <w:rPr>
          <w:b w:val="1"/>
          <w:bCs w:val="1"/>
        </w:rPr>
        <w:t xml:space="preserve">все самое лучшее и новое</w:t>
      </w:r>
      <w:r>
        <w:rPr/>
        <w:t xml:space="preserve">: «Доброе сердце», «В один миг», «Похититель»;</w:t>
      </w:r>
      <w:br/>
      <w:r>
        <w:rPr/>
        <w:t xml:space="preserve">23 и 24 апреля в 20:00 – </w:t>
      </w:r>
      <w:r>
        <w:rPr>
          <w:b w:val="1"/>
          <w:bCs w:val="1"/>
        </w:rPr>
        <w:t xml:space="preserve">первые две части фильма «Бахубали»</w:t>
      </w:r>
      <w:r>
        <w:rPr/>
        <w:t xml:space="preserve">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апреля в 20:00 — «Как бы не влюбиться»</w:t>
            </w:r>
            <w:br/>
            <w:br/>
            <w:r>
              <w:rPr/>
              <w:t xml:space="preserve">Все вокруг утверждают, что браки совершаются на небесах. А что же делать молодым людям, которые встречаются, влюбляются, страдают и все это происходит на бренной земле? Над решением этих проблем и бьются герои нашего фильма, попадая в самые интригующие ситуации.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Мурали Мохан Рао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Салман Кхан, Рани Мукхерджи, Джеки Шрофф, Равина Тандон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апреля в 20:00 — «В один миг»</w:t>
            </w:r>
            <w:br/>
            <w:br/>
            <w:r>
              <w:rPr/>
              <w:t xml:space="preserve">Риши расстался со своей возлюбленной Шветой уже четыре года назад, но до сих пор не может забыть ее. Неожиданно Швета звонит ему и просит о помощи. Похитили ее маленькую дочь. В ходе поисков Риши начинает сомневаться, а существует ли девочка на самом деле?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Равикант Перепу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Рави Верма, Анасуя Бхардвадж, Адиви Сеш, Ада Шарма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7" w:history="1">
        <w:r>
          <w:rPr>
            <w:u w:val="single"/>
          </w:rPr>
          <w:t xml:space="preserve">www.red-media.ru</w:t>
        </w:r>
      </w:hyperlink>
    </w:p>
    <w:sectPr>
      <w:footerReference w:type="default" r:id="rId1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mailto:smolnikovavv@red-media.ru" TargetMode="External"/><Relationship Id="rId13" Type="http://schemas.openxmlformats.org/officeDocument/2006/relationships/hyperlink" Target="https://vk.com/redmediatv" TargetMode="External"/><Relationship Id="rId14" Type="http://schemas.openxmlformats.org/officeDocument/2006/relationships/hyperlink" Target="https://ok.ru/group/63145683452079" TargetMode="External"/><Relationship Id="rId15" Type="http://schemas.openxmlformats.org/officeDocument/2006/relationships/hyperlink" Target="https://t.me/redmediatv" TargetMode="External"/><Relationship Id="rId16" Type="http://schemas.openxmlformats.org/officeDocument/2006/relationships/hyperlink" Target="http://www.nastroykino.ru" TargetMode="External"/><Relationship Id="rId17" Type="http://schemas.openxmlformats.org/officeDocument/2006/relationships/hyperlink" Target="http://www.red-media.ru" TargetMode="Externa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2024-03-28T19:03:11+00:00</dcterms:created>
  <dcterms:modified xsi:type="dcterms:W3CDTF">2024-03-28T19:03:11+00:00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